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B3" w:rsidRDefault="00BA1BB3" w:rsidP="00BA1BB3">
      <w:pPr>
        <w:tabs>
          <w:tab w:val="left" w:pos="9355"/>
        </w:tabs>
        <w:spacing w:before="100" w:beforeAutospacing="1" w:after="100" w:afterAutospacing="1"/>
        <w:ind w:left="5954"/>
        <w:rPr>
          <w:b/>
          <w:sz w:val="28"/>
          <w:szCs w:val="28"/>
          <w:lang w:val="en-US"/>
        </w:rPr>
      </w:pPr>
    </w:p>
    <w:p w:rsidR="00BA1BB3" w:rsidRDefault="00BA1BB3" w:rsidP="00BA1BB3">
      <w:pPr>
        <w:tabs>
          <w:tab w:val="left" w:pos="9355"/>
        </w:tabs>
        <w:spacing w:before="100" w:beforeAutospacing="1" w:after="100" w:afterAutospacing="1"/>
        <w:ind w:left="5954"/>
        <w:rPr>
          <w:b/>
          <w:sz w:val="28"/>
          <w:szCs w:val="28"/>
          <w:lang w:val="en-US"/>
        </w:rPr>
      </w:pPr>
    </w:p>
    <w:p w:rsidR="00BA1BB3" w:rsidRDefault="00BA1BB3" w:rsidP="00BA1BB3">
      <w:pPr>
        <w:tabs>
          <w:tab w:val="left" w:pos="9355"/>
        </w:tabs>
        <w:spacing w:before="100" w:beforeAutospacing="1" w:after="100" w:afterAutospacing="1"/>
        <w:ind w:left="5954"/>
        <w:rPr>
          <w:b/>
          <w:sz w:val="28"/>
          <w:szCs w:val="28"/>
          <w:lang w:val="en-US"/>
        </w:rPr>
      </w:pPr>
    </w:p>
    <w:p w:rsidR="00BA1BB3" w:rsidRDefault="00BA1BB3" w:rsidP="00BA1BB3">
      <w:pPr>
        <w:tabs>
          <w:tab w:val="left" w:pos="9355"/>
        </w:tabs>
        <w:spacing w:before="100" w:beforeAutospacing="1" w:after="100" w:afterAutospacing="1"/>
        <w:ind w:left="5954"/>
        <w:rPr>
          <w:b/>
          <w:sz w:val="28"/>
          <w:szCs w:val="28"/>
          <w:lang w:val="en-US"/>
        </w:rPr>
      </w:pPr>
    </w:p>
    <w:p w:rsidR="006B1A29" w:rsidRDefault="006B1A29" w:rsidP="006B1A29">
      <w:pPr>
        <w:tabs>
          <w:tab w:val="left" w:pos="8080"/>
        </w:tabs>
        <w:ind w:left="5954"/>
        <w:rPr>
          <w:b/>
          <w:sz w:val="28"/>
          <w:szCs w:val="28"/>
          <w:lang w:val="kk-KZ"/>
        </w:rPr>
      </w:pPr>
      <w:r w:rsidRPr="00FB2555">
        <w:rPr>
          <w:b/>
          <w:sz w:val="28"/>
          <w:szCs w:val="28"/>
          <w:lang w:val="kk-KZ"/>
        </w:rPr>
        <w:t xml:space="preserve">«КОРЭМ» АҚ </w:t>
      </w:r>
    </w:p>
    <w:p w:rsidR="006B1A29" w:rsidRPr="00BD2184" w:rsidRDefault="006B1A29" w:rsidP="006B1A29">
      <w:pPr>
        <w:tabs>
          <w:tab w:val="left" w:pos="8080"/>
        </w:tabs>
        <w:spacing w:after="240"/>
        <w:ind w:left="5954"/>
        <w:rPr>
          <w:sz w:val="28"/>
          <w:szCs w:val="28"/>
          <w:lang w:val="kk-KZ"/>
        </w:rPr>
      </w:pPr>
      <w:r w:rsidRPr="00FB2555">
        <w:rPr>
          <w:b/>
          <w:sz w:val="28"/>
          <w:szCs w:val="28"/>
          <w:lang w:val="kk-KZ"/>
        </w:rPr>
        <w:t xml:space="preserve">Басқарма Төрағасы </w:t>
      </w:r>
      <w:r w:rsidRPr="00FB2555">
        <w:rPr>
          <w:b/>
          <w:sz w:val="28"/>
          <w:szCs w:val="28"/>
          <w:lang w:val="kk-KZ"/>
        </w:rPr>
        <w:br/>
      </w:r>
      <w:r w:rsidRPr="00BD2184">
        <w:rPr>
          <w:b/>
          <w:sz w:val="28"/>
          <w:szCs w:val="28"/>
          <w:u w:val="single"/>
          <w:lang w:val="kk-KZ"/>
        </w:rPr>
        <w:tab/>
      </w:r>
      <w:r w:rsidRPr="00FB2555">
        <w:rPr>
          <w:b/>
          <w:sz w:val="28"/>
          <w:szCs w:val="28"/>
          <w:lang w:val="kk-KZ"/>
        </w:rPr>
        <w:t xml:space="preserve"> мырзаға</w:t>
      </w:r>
    </w:p>
    <w:p w:rsidR="006B1A29" w:rsidRPr="00BD2184" w:rsidRDefault="006B1A29" w:rsidP="006B1A29">
      <w:pPr>
        <w:pStyle w:val="a4"/>
        <w:tabs>
          <w:tab w:val="left" w:pos="851"/>
          <w:tab w:val="left" w:pos="9355"/>
        </w:tabs>
        <w:spacing w:after="240"/>
        <w:ind w:left="0" w:firstLine="567"/>
        <w:jc w:val="both"/>
        <w:rPr>
          <w:sz w:val="28"/>
          <w:szCs w:val="28"/>
          <w:lang w:val="kk-KZ"/>
        </w:rPr>
      </w:pPr>
      <w:r w:rsidRPr="00FB2555">
        <w:rPr>
          <w:sz w:val="28"/>
          <w:szCs w:val="28"/>
          <w:lang w:val="kk-KZ"/>
        </w:rPr>
        <w:t xml:space="preserve">Осы </w:t>
      </w:r>
      <w:r>
        <w:rPr>
          <w:sz w:val="28"/>
          <w:szCs w:val="28"/>
          <w:lang w:val="kk-KZ"/>
        </w:rPr>
        <w:t>арқылы</w:t>
      </w:r>
      <w:r w:rsidRPr="00BD2184">
        <w:rPr>
          <w:sz w:val="28"/>
          <w:szCs w:val="28"/>
          <w:u w:val="single"/>
          <w:lang w:val="kk-KZ"/>
        </w:rPr>
        <w:tab/>
      </w:r>
    </w:p>
    <w:p w:rsidR="006B1A29" w:rsidRPr="00BD2184" w:rsidRDefault="006B1A29" w:rsidP="006B1A29">
      <w:pPr>
        <w:pStyle w:val="a4"/>
        <w:tabs>
          <w:tab w:val="left" w:pos="8505"/>
        </w:tabs>
        <w:spacing w:after="240"/>
        <w:ind w:left="3969"/>
        <w:jc w:val="both"/>
        <w:rPr>
          <w:lang w:val="kk-KZ"/>
        </w:rPr>
      </w:pPr>
      <w:r w:rsidRPr="005B3852">
        <w:rPr>
          <w:lang w:val="kk-KZ"/>
        </w:rPr>
        <w:t>(ұйымның атауы, БСН)</w:t>
      </w:r>
    </w:p>
    <w:p w:rsidR="006B1A29" w:rsidRPr="003427FF" w:rsidRDefault="006B1A29" w:rsidP="006B1A29">
      <w:pPr>
        <w:pStyle w:val="a4"/>
        <w:tabs>
          <w:tab w:val="left" w:pos="3544"/>
        </w:tabs>
        <w:spacing w:after="100" w:afterAutospacing="1"/>
        <w:ind w:left="0"/>
        <w:jc w:val="both"/>
        <w:rPr>
          <w:sz w:val="28"/>
          <w:szCs w:val="28"/>
          <w:lang w:val="kk-KZ"/>
        </w:rPr>
      </w:pPr>
      <w:r w:rsidRPr="003427FF">
        <w:rPr>
          <w:sz w:val="28"/>
          <w:szCs w:val="28"/>
          <w:lang w:val="kk-KZ"/>
        </w:rPr>
        <w:t>(бұдан әрі – Компания) 2019 жылғы 27 қарашада өткізілетін жаңартылатын энергия көздерін пайдалану объектілерін салу бойынша жобаларды іріктеу жөніндегі құжаттамаларсыз аукциондық сауда-саттыққа қатысуды жоспарлайтынын растайды.</w:t>
      </w:r>
    </w:p>
    <w:p w:rsidR="006B1A29" w:rsidRPr="003427FF" w:rsidRDefault="006B1A29" w:rsidP="006B1A29">
      <w:pPr>
        <w:pStyle w:val="a4"/>
        <w:tabs>
          <w:tab w:val="left" w:pos="3544"/>
        </w:tabs>
        <w:spacing w:after="100" w:afterAutospacing="1"/>
        <w:ind w:left="0" w:firstLine="567"/>
        <w:jc w:val="both"/>
        <w:rPr>
          <w:sz w:val="28"/>
          <w:szCs w:val="28"/>
          <w:lang w:val="kk-KZ"/>
        </w:rPr>
      </w:pPr>
      <w:r w:rsidRPr="003427FF">
        <w:rPr>
          <w:sz w:val="28"/>
          <w:szCs w:val="28"/>
          <w:lang w:val="kk-KZ"/>
        </w:rPr>
        <w:t>Осы аукциондық сауда-саттыққа қатысуға дайындау мақсатында Компания Қазақстан Республикасы Энергетика министрінің 2017 жылғы 21 желтоқсандағы № 466 бұйрығы бекітілген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қағидаларына (бұдан әрі – Қағидалар) сәйкес дайындалған құжаттаманың сапасы мен толықтығымен таныстырылып, келіседі.</w:t>
      </w:r>
    </w:p>
    <w:p w:rsidR="006B1A29" w:rsidRPr="00BD2184" w:rsidRDefault="006B1A29" w:rsidP="006B1A29">
      <w:pPr>
        <w:pStyle w:val="a4"/>
        <w:tabs>
          <w:tab w:val="left" w:pos="3544"/>
          <w:tab w:val="left" w:pos="8364"/>
        </w:tabs>
        <w:spacing w:after="100" w:afterAutospacing="1"/>
        <w:ind w:left="0" w:firstLine="567"/>
        <w:jc w:val="both"/>
        <w:rPr>
          <w:sz w:val="28"/>
          <w:szCs w:val="28"/>
          <w:lang w:val="kk-KZ"/>
        </w:rPr>
      </w:pPr>
      <w:r w:rsidRPr="003427FF">
        <w:rPr>
          <w:sz w:val="28"/>
          <w:szCs w:val="28"/>
          <w:lang w:val="kk-KZ"/>
        </w:rPr>
        <w:t xml:space="preserve">Осы арқылы компания Қағидалардың 58-1-тармағына сәйкес компания аукциондық сауда-саттық жеңімпазы деп танылған жағдайда, аукциондық сауда-саттық ұйымдастырушы аукциондық сауда-саттық жеңімпаздарының тиісті тізілімін жариялаған күннен бастап 30 күнтізбелік күн ішінде құжаттаманы әзірлеуге арналған шығындарды толық көлемде </w:t>
      </w:r>
      <w:r w:rsidRPr="003427FF">
        <w:rPr>
          <w:sz w:val="28"/>
          <w:szCs w:val="28"/>
          <w:u w:val="single"/>
          <w:lang w:val="kk-KZ"/>
        </w:rPr>
        <w:tab/>
      </w:r>
      <w:r w:rsidRPr="003427FF">
        <w:rPr>
          <w:sz w:val="28"/>
          <w:szCs w:val="28"/>
          <w:lang w:val="kk-KZ"/>
        </w:rPr>
        <w:t xml:space="preserve"> теңге сомасында өтеуге дайын екендігін растайды.</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29"/>
        <w:gridCol w:w="2693"/>
        <w:gridCol w:w="283"/>
        <w:gridCol w:w="2550"/>
      </w:tblGrid>
      <w:tr w:rsidR="006B1A29" w:rsidTr="00832F4E">
        <w:tc>
          <w:tcPr>
            <w:tcW w:w="2046" w:type="pct"/>
          </w:tcPr>
          <w:p w:rsidR="006B1A29" w:rsidRDefault="006B1A29" w:rsidP="00832F4E">
            <w:pPr>
              <w:ind w:left="449"/>
              <w:rPr>
                <w:b/>
              </w:rPr>
            </w:pPr>
            <w:r w:rsidRPr="006B1A29">
              <w:rPr>
                <w:b/>
                <w:sz w:val="28"/>
                <w:lang w:val="kk-KZ"/>
              </w:rPr>
              <w:t>Басшы</w:t>
            </w:r>
          </w:p>
        </w:tc>
        <w:tc>
          <w:tcPr>
            <w:tcW w:w="1439" w:type="pct"/>
            <w:tcBorders>
              <w:bottom w:val="single" w:sz="4" w:space="0" w:color="auto"/>
            </w:tcBorders>
          </w:tcPr>
          <w:p w:rsidR="006B1A29" w:rsidRPr="005B3852" w:rsidRDefault="006B1A29" w:rsidP="00832F4E">
            <w:pPr>
              <w:jc w:val="center"/>
              <w:rPr>
                <w:bCs/>
              </w:rPr>
            </w:pPr>
          </w:p>
        </w:tc>
        <w:tc>
          <w:tcPr>
            <w:tcW w:w="151" w:type="pct"/>
          </w:tcPr>
          <w:p w:rsidR="006B1A29" w:rsidRPr="005B3852" w:rsidRDefault="006B1A29" w:rsidP="00832F4E">
            <w:pPr>
              <w:ind w:left="33" w:hanging="33"/>
              <w:rPr>
                <w:bCs/>
              </w:rPr>
            </w:pPr>
          </w:p>
        </w:tc>
        <w:tc>
          <w:tcPr>
            <w:tcW w:w="1363" w:type="pct"/>
            <w:tcBorders>
              <w:bottom w:val="single" w:sz="4" w:space="0" w:color="auto"/>
            </w:tcBorders>
          </w:tcPr>
          <w:p w:rsidR="006B1A29" w:rsidRPr="005B3852" w:rsidRDefault="006B1A29" w:rsidP="00832F4E">
            <w:pPr>
              <w:jc w:val="center"/>
              <w:rPr>
                <w:bCs/>
              </w:rPr>
            </w:pPr>
          </w:p>
        </w:tc>
      </w:tr>
      <w:tr w:rsidR="006B1A29" w:rsidTr="00832F4E">
        <w:tc>
          <w:tcPr>
            <w:tcW w:w="2046" w:type="pct"/>
          </w:tcPr>
          <w:p w:rsidR="006B1A29" w:rsidRPr="005B3852" w:rsidRDefault="006B1A29" w:rsidP="00832F4E">
            <w:pPr>
              <w:ind w:left="449"/>
              <w:rPr>
                <w:b/>
              </w:rPr>
            </w:pPr>
          </w:p>
        </w:tc>
        <w:tc>
          <w:tcPr>
            <w:tcW w:w="1439" w:type="pct"/>
            <w:tcBorders>
              <w:top w:val="single" w:sz="4" w:space="0" w:color="auto"/>
            </w:tcBorders>
          </w:tcPr>
          <w:p w:rsidR="006B1A29" w:rsidRPr="005B3852" w:rsidRDefault="006B1A29" w:rsidP="00832F4E">
            <w:pPr>
              <w:jc w:val="center"/>
              <w:rPr>
                <w:b/>
              </w:rPr>
            </w:pPr>
            <w:r w:rsidRPr="005B3852">
              <w:rPr>
                <w:lang w:val="kk-KZ"/>
              </w:rPr>
              <w:t>(қолы)</w:t>
            </w:r>
          </w:p>
        </w:tc>
        <w:tc>
          <w:tcPr>
            <w:tcW w:w="151" w:type="pct"/>
          </w:tcPr>
          <w:p w:rsidR="006B1A29" w:rsidRPr="005B3852" w:rsidRDefault="006B1A29" w:rsidP="00832F4E">
            <w:pPr>
              <w:ind w:left="33" w:hanging="33"/>
            </w:pPr>
          </w:p>
        </w:tc>
        <w:tc>
          <w:tcPr>
            <w:tcW w:w="1363" w:type="pct"/>
            <w:tcBorders>
              <w:top w:val="single" w:sz="4" w:space="0" w:color="auto"/>
            </w:tcBorders>
          </w:tcPr>
          <w:p w:rsidR="006B1A29" w:rsidRPr="005B3852" w:rsidRDefault="006B1A29" w:rsidP="00832F4E">
            <w:pPr>
              <w:jc w:val="center"/>
            </w:pPr>
            <w:r w:rsidRPr="005B3852">
              <w:rPr>
                <w:lang w:val="kk-KZ"/>
              </w:rPr>
              <w:t>(Аты-Ж</w:t>
            </w:r>
            <w:r>
              <w:rPr>
                <w:lang w:val="kk-KZ"/>
              </w:rPr>
              <w:t>өні</w:t>
            </w:r>
            <w:r w:rsidRPr="005B3852">
              <w:rPr>
                <w:lang w:val="kk-KZ"/>
              </w:rPr>
              <w:t>)</w:t>
            </w:r>
          </w:p>
        </w:tc>
      </w:tr>
    </w:tbl>
    <w:p w:rsidR="006B1A29" w:rsidRPr="00105F1E" w:rsidRDefault="006B1A29" w:rsidP="006B1A29">
      <w:pPr>
        <w:ind w:firstLine="567"/>
        <w:contextualSpacing/>
        <w:jc w:val="both"/>
        <w:rPr>
          <w:rFonts w:ascii="Times New Roman" w:hAnsi="Times New Roman" w:cs="Times New Roman"/>
          <w:color w:val="000000" w:themeColor="text1"/>
          <w:sz w:val="28"/>
          <w:szCs w:val="28"/>
        </w:rPr>
      </w:pPr>
    </w:p>
    <w:p w:rsidR="006B1A29" w:rsidRDefault="006B1A29" w:rsidP="006B1A29">
      <w:pPr>
        <w:pStyle w:val="a"/>
        <w:numPr>
          <w:ilvl w:val="0"/>
          <w:numId w:val="0"/>
        </w:numPr>
        <w:ind w:left="3969"/>
        <w:contextualSpacing/>
        <w:jc w:val="left"/>
        <w:rPr>
          <w:b w:val="0"/>
          <w:bCs w:val="0"/>
          <w:color w:val="000000" w:themeColor="text1"/>
          <w:sz w:val="28"/>
          <w:szCs w:val="28"/>
        </w:rPr>
      </w:pPr>
      <w:bookmarkStart w:id="0" w:name="_GoBack"/>
      <w:bookmarkEnd w:id="0"/>
    </w:p>
    <w:p w:rsidR="006B1A29" w:rsidRPr="006B1A29" w:rsidRDefault="006B1A29" w:rsidP="006B1A29"/>
    <w:p w:rsidR="006B1A29" w:rsidRPr="006B1A29" w:rsidRDefault="006B1A29" w:rsidP="006B1A29"/>
    <w:p w:rsidR="006B1A29" w:rsidRDefault="006B1A29" w:rsidP="006B1A29"/>
    <w:p w:rsidR="006B1A29" w:rsidRDefault="006B1A29" w:rsidP="006B1A29"/>
    <w:p w:rsidR="002A479B" w:rsidRDefault="006B1A29" w:rsidP="006B1A29">
      <w:pPr>
        <w:tabs>
          <w:tab w:val="left" w:pos="8325"/>
        </w:tabs>
      </w:pPr>
      <w:r>
        <w:tab/>
      </w:r>
    </w:p>
    <w:sectPr w:rsidR="002A479B">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4C" w:rsidRDefault="004D534C">
      <w:r>
        <w:separator/>
      </w:r>
    </w:p>
  </w:endnote>
  <w:endnote w:type="continuationSeparator" w:id="0">
    <w:p w:rsidR="004D534C" w:rsidRDefault="004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anumGothic">
    <w:altName w:val="Times New Roman"/>
    <w:panose1 w:val="00000000000000000000"/>
    <w:charset w:val="00"/>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13292"/>
      <w:docPartObj>
        <w:docPartGallery w:val="Page Numbers (Bottom of Page)"/>
        <w:docPartUnique/>
      </w:docPartObj>
    </w:sdtPr>
    <w:sdtEndPr/>
    <w:sdtContent>
      <w:p w:rsidR="00090AE3" w:rsidRDefault="00BA1BB3">
        <w:pPr>
          <w:pStyle w:val="a6"/>
          <w:jc w:val="center"/>
        </w:pPr>
        <w:r>
          <w:fldChar w:fldCharType="begin"/>
        </w:r>
        <w:r>
          <w:instrText>PAGE   \* MERGEFORMAT</w:instrText>
        </w:r>
        <w:r>
          <w:fldChar w:fldCharType="separate"/>
        </w:r>
        <w:r w:rsidR="006B1A29">
          <w:rPr>
            <w:noProof/>
          </w:rPr>
          <w:t>1</w:t>
        </w:r>
        <w:r>
          <w:fldChar w:fldCharType="end"/>
        </w:r>
      </w:p>
    </w:sdtContent>
  </w:sdt>
  <w:p w:rsidR="00904A7C" w:rsidRDefault="004D534C">
    <w:pPr>
      <w:tabs>
        <w:tab w:val="center" w:pos="4677"/>
        <w:tab w:val="right" w:pos="9355"/>
      </w:tabs>
      <w:snapToGrid w:val="0"/>
      <w:jc w:val="center"/>
      <w:rPr>
        <w:rFonts w:ascii="Times New Roman" w:hAnsi="Times New Roman"/>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E3" w:rsidRDefault="004D534C">
    <w:pPr>
      <w:pStyle w:val="a6"/>
      <w:jc w:val="center"/>
    </w:pPr>
  </w:p>
  <w:p w:rsidR="00090AE3" w:rsidRDefault="004D53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4C" w:rsidRDefault="004D534C">
      <w:r>
        <w:separator/>
      </w:r>
    </w:p>
  </w:footnote>
  <w:footnote w:type="continuationSeparator" w:id="0">
    <w:p w:rsidR="004D534C" w:rsidRDefault="004D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4133"/>
    <w:multiLevelType w:val="hybridMultilevel"/>
    <w:tmpl w:val="1690F8EC"/>
    <w:lvl w:ilvl="0" w:tplc="F62482C6">
      <w:start w:val="1"/>
      <w:numFmt w:val="upperRoman"/>
      <w:pStyle w:val="a"/>
      <w:lvlText w:val="%1."/>
      <w:lvlJc w:val="left"/>
      <w:pPr>
        <w:tabs>
          <w:tab w:val="num" w:pos="1080"/>
        </w:tabs>
        <w:ind w:left="1080" w:hanging="720"/>
      </w:pPr>
      <w:rPr>
        <w:rFonts w:hint="default"/>
      </w:rPr>
    </w:lvl>
    <w:lvl w:ilvl="1" w:tplc="7FC4E966">
      <w:start w:val="1"/>
      <w:numFmt w:val="decimal"/>
      <w:lvlText w:val="%2)"/>
      <w:lvlJc w:val="left"/>
      <w:pPr>
        <w:tabs>
          <w:tab w:val="num" w:pos="1440"/>
        </w:tabs>
        <w:ind w:left="1440" w:hanging="360"/>
      </w:pPr>
      <w:rPr>
        <w:rFonts w:hint="default"/>
      </w:rPr>
    </w:lvl>
    <w:lvl w:ilvl="2" w:tplc="93905DB0">
      <w:start w:val="1"/>
      <w:numFmt w:val="decimal"/>
      <w:lvlText w:val="%3."/>
      <w:lvlJc w:val="left"/>
      <w:pPr>
        <w:tabs>
          <w:tab w:val="num" w:pos="2340"/>
        </w:tabs>
        <w:ind w:left="2340" w:hanging="360"/>
      </w:pPr>
      <w:rPr>
        <w:rFonts w:hint="default"/>
      </w:rPr>
    </w:lvl>
    <w:lvl w:ilvl="3" w:tplc="92BCDE46">
      <w:start w:val="1"/>
      <w:numFmt w:val="bullet"/>
      <w:lvlText w:val="-"/>
      <w:lvlJc w:val="left"/>
      <w:pPr>
        <w:tabs>
          <w:tab w:val="num" w:pos="3225"/>
        </w:tabs>
        <w:ind w:left="3225" w:hanging="705"/>
      </w:pPr>
      <w:rPr>
        <w:rFonts w:ascii="Times New Roman" w:eastAsia="Times New Roman" w:hAnsi="Times New Roman" w:cs="Times New Roman" w:hint="default"/>
      </w:rPr>
    </w:lvl>
    <w:lvl w:ilvl="4" w:tplc="A768B0AA" w:tentative="1">
      <w:start w:val="1"/>
      <w:numFmt w:val="lowerLetter"/>
      <w:lvlText w:val="%5."/>
      <w:lvlJc w:val="left"/>
      <w:pPr>
        <w:tabs>
          <w:tab w:val="num" w:pos="3600"/>
        </w:tabs>
        <w:ind w:left="3600" w:hanging="360"/>
      </w:pPr>
    </w:lvl>
    <w:lvl w:ilvl="5" w:tplc="FD3C93E0" w:tentative="1">
      <w:start w:val="1"/>
      <w:numFmt w:val="lowerRoman"/>
      <w:lvlText w:val="%6."/>
      <w:lvlJc w:val="right"/>
      <w:pPr>
        <w:tabs>
          <w:tab w:val="num" w:pos="4320"/>
        </w:tabs>
        <w:ind w:left="4320" w:hanging="180"/>
      </w:pPr>
    </w:lvl>
    <w:lvl w:ilvl="6" w:tplc="78887D56" w:tentative="1">
      <w:start w:val="1"/>
      <w:numFmt w:val="decimal"/>
      <w:lvlText w:val="%7."/>
      <w:lvlJc w:val="left"/>
      <w:pPr>
        <w:tabs>
          <w:tab w:val="num" w:pos="5040"/>
        </w:tabs>
        <w:ind w:left="5040" w:hanging="360"/>
      </w:pPr>
    </w:lvl>
    <w:lvl w:ilvl="7" w:tplc="C792B3DA" w:tentative="1">
      <w:start w:val="1"/>
      <w:numFmt w:val="lowerLetter"/>
      <w:lvlText w:val="%8."/>
      <w:lvlJc w:val="left"/>
      <w:pPr>
        <w:tabs>
          <w:tab w:val="num" w:pos="5760"/>
        </w:tabs>
        <w:ind w:left="5760" w:hanging="360"/>
      </w:pPr>
    </w:lvl>
    <w:lvl w:ilvl="8" w:tplc="46AC8B8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F"/>
    <w:rsid w:val="002A479B"/>
    <w:rsid w:val="004D534C"/>
    <w:rsid w:val="0054624F"/>
    <w:rsid w:val="006B1A29"/>
    <w:rsid w:val="00BA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02113-BA8A-4AD0-AB0F-43A0156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BB3"/>
    <w:pPr>
      <w:spacing w:after="0" w:line="240" w:lineRule="auto"/>
    </w:pPr>
    <w:rPr>
      <w:rFonts w:ascii="NanumGothic" w:eastAsia="Times New Roman" w:hAnsi="NanumGothic" w:cs="NanumGothic"/>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1BB3"/>
    <w:pPr>
      <w:ind w:left="720"/>
      <w:contextualSpacing/>
    </w:pPr>
  </w:style>
  <w:style w:type="paragraph" w:styleId="a">
    <w:name w:val="Title"/>
    <w:basedOn w:val="a0"/>
    <w:link w:val="a5"/>
    <w:qFormat/>
    <w:rsid w:val="00BA1BB3"/>
    <w:pPr>
      <w:numPr>
        <w:numId w:val="1"/>
      </w:numPr>
      <w:jc w:val="center"/>
    </w:pPr>
    <w:rPr>
      <w:rFonts w:ascii="Times New Roman" w:hAnsi="Times New Roman" w:cs="Times New Roman"/>
      <w:b/>
      <w:bCs/>
      <w:sz w:val="24"/>
      <w:szCs w:val="24"/>
    </w:rPr>
  </w:style>
  <w:style w:type="character" w:customStyle="1" w:styleId="a5">
    <w:name w:val="Название Знак"/>
    <w:basedOn w:val="a1"/>
    <w:link w:val="a"/>
    <w:rsid w:val="00BA1BB3"/>
    <w:rPr>
      <w:rFonts w:eastAsia="Times New Roman"/>
      <w:b/>
      <w:bCs/>
      <w:sz w:val="24"/>
      <w:szCs w:val="24"/>
      <w:lang w:eastAsia="ru-RU"/>
    </w:rPr>
  </w:style>
  <w:style w:type="paragraph" w:styleId="a6">
    <w:name w:val="footer"/>
    <w:basedOn w:val="a0"/>
    <w:link w:val="a7"/>
    <w:uiPriority w:val="99"/>
    <w:unhideWhenUsed/>
    <w:rsid w:val="00BA1BB3"/>
    <w:pPr>
      <w:tabs>
        <w:tab w:val="center" w:pos="4677"/>
        <w:tab w:val="right" w:pos="9355"/>
      </w:tabs>
    </w:pPr>
  </w:style>
  <w:style w:type="character" w:customStyle="1" w:styleId="a7">
    <w:name w:val="Нижний колонтитул Знак"/>
    <w:basedOn w:val="a1"/>
    <w:link w:val="a6"/>
    <w:uiPriority w:val="99"/>
    <w:rsid w:val="00BA1BB3"/>
    <w:rPr>
      <w:rFonts w:ascii="NanumGothic" w:eastAsia="Times New Roman" w:hAnsi="NanumGothic" w:cs="NanumGothic"/>
      <w:sz w:val="20"/>
      <w:szCs w:val="20"/>
      <w:lang w:eastAsia="ru-RU"/>
    </w:rPr>
  </w:style>
  <w:style w:type="table" w:styleId="a8">
    <w:name w:val="Table Grid"/>
    <w:basedOn w:val="a2"/>
    <w:uiPriority w:val="39"/>
    <w:rsid w:val="00BA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Бибисара Макина</dc:creator>
  <cp:keywords/>
  <dc:description/>
  <cp:lastModifiedBy>Бибисара Макина</cp:lastModifiedBy>
  <cp:revision>3</cp:revision>
  <dcterms:created xsi:type="dcterms:W3CDTF">2020-11-04T10:01:00Z</dcterms:created>
  <dcterms:modified xsi:type="dcterms:W3CDTF">2020-11-10T04:50:00Z</dcterms:modified>
</cp:coreProperties>
</file>